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2B" w:rsidRDefault="0035652B">
      <w:pPr>
        <w:pStyle w:val="20"/>
        <w:jc w:val="center"/>
        <w:rPr>
          <w:b/>
          <w:bCs/>
        </w:rPr>
      </w:pPr>
      <w:r>
        <w:rPr>
          <w:b/>
          <w:bCs/>
        </w:rPr>
        <w:t>Глубокоуважаемые участники конференции!</w:t>
      </w:r>
    </w:p>
    <w:p w:rsidR="0035652B" w:rsidRDefault="0035652B">
      <w:pPr>
        <w:pStyle w:val="20"/>
      </w:pPr>
      <w:r>
        <w:t>Чтобы упростить нашу работу с текстом сборника, пожалуйста, постарайтесь соблюдать следующие требования.</w:t>
      </w:r>
    </w:p>
    <w:p w:rsidR="0035652B" w:rsidRDefault="0035652B">
      <w:pPr>
        <w:pStyle w:val="20"/>
        <w:rPr>
          <w:i/>
        </w:rPr>
      </w:pPr>
    </w:p>
    <w:p w:rsidR="0035652B" w:rsidRDefault="0035652B">
      <w:pPr>
        <w:pStyle w:val="20"/>
        <w:rPr>
          <w:i/>
        </w:rPr>
      </w:pPr>
      <w:r>
        <w:rPr>
          <w:i/>
        </w:rPr>
        <w:t>Текст:</w:t>
      </w:r>
    </w:p>
    <w:p w:rsidR="0035652B" w:rsidRDefault="0035652B">
      <w:pPr>
        <w:pStyle w:val="20"/>
      </w:pPr>
      <w:r>
        <w:t xml:space="preserve">1. При наборе текста использовать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 12, междустрочный интервал – 1, выравнивание – по ширине; абзацный отступ – 0,75 см. </w:t>
      </w:r>
      <w:r w:rsidR="00B05E43">
        <w:t>Но лу</w:t>
      </w:r>
      <w:r>
        <w:t xml:space="preserve">чше всего </w:t>
      </w:r>
      <w:r w:rsidRPr="00B05E43">
        <w:rPr>
          <w:b/>
          <w:u w:val="single"/>
        </w:rPr>
        <w:t>воспользоваться стилями</w:t>
      </w:r>
      <w:r>
        <w:t>, заданными в прилагаемом отрывке.</w:t>
      </w:r>
    </w:p>
    <w:p w:rsidR="0035652B" w:rsidRDefault="0035652B">
      <w:pPr>
        <w:pStyle w:val="20"/>
      </w:pPr>
      <w:r>
        <w:t xml:space="preserve">2. Нумерация страниц </w:t>
      </w:r>
      <w:r>
        <w:rPr>
          <w:b/>
          <w:bCs/>
          <w:u w:val="single"/>
        </w:rPr>
        <w:t>не нужна!</w:t>
      </w:r>
    </w:p>
    <w:p w:rsidR="0035652B" w:rsidRDefault="0035652B">
      <w:pPr>
        <w:pStyle w:val="20"/>
      </w:pPr>
      <w:r>
        <w:t xml:space="preserve">3. Сноски </w:t>
      </w:r>
      <w:r>
        <w:rPr>
          <w:b/>
          <w:bCs/>
          <w:u w:val="single"/>
        </w:rPr>
        <w:t>постраничные,</w:t>
      </w:r>
      <w:r>
        <w:rPr>
          <w:bCs/>
        </w:rPr>
        <w:t xml:space="preserve"> автоматические, без квадратных и иных скобок</w:t>
      </w:r>
      <w:r>
        <w:t>!</w:t>
      </w:r>
    </w:p>
    <w:p w:rsidR="0035652B" w:rsidRDefault="0035652B">
      <w:pPr>
        <w:pStyle w:val="20"/>
      </w:pPr>
      <w:r>
        <w:t>4. Таблицы нумеруются и снабжаются подписями.</w:t>
      </w:r>
    </w:p>
    <w:p w:rsidR="0035652B" w:rsidRDefault="0035652B">
      <w:pPr>
        <w:pStyle w:val="20"/>
        <w:rPr>
          <w:i/>
        </w:rPr>
      </w:pPr>
    </w:p>
    <w:p w:rsidR="0035652B" w:rsidRDefault="0035652B">
      <w:pPr>
        <w:pStyle w:val="20"/>
        <w:rPr>
          <w:i/>
        </w:rPr>
      </w:pPr>
      <w:r>
        <w:rPr>
          <w:i/>
        </w:rPr>
        <w:t>Если у Вас имеются рисунки:</w:t>
      </w:r>
    </w:p>
    <w:p w:rsidR="0035652B" w:rsidRDefault="0035652B">
      <w:pPr>
        <w:pStyle w:val="20"/>
      </w:pPr>
      <w:r>
        <w:t xml:space="preserve">1. Рисунки </w:t>
      </w:r>
      <w:r w:rsidR="00484847">
        <w:t xml:space="preserve">не надо вставлять в файл </w:t>
      </w:r>
      <w:r w:rsidR="00484847">
        <w:rPr>
          <w:lang w:val="en-US"/>
        </w:rPr>
        <w:t>Word</w:t>
      </w:r>
      <w:r w:rsidR="00484847">
        <w:t xml:space="preserve">, </w:t>
      </w:r>
      <w:r w:rsidR="00484847" w:rsidRPr="00484847">
        <w:t xml:space="preserve">они </w:t>
      </w:r>
      <w:r>
        <w:t xml:space="preserve">идут отдельными файлами, которые будут размещены </w:t>
      </w:r>
      <w:r w:rsidR="00484847">
        <w:t>по тексту.</w:t>
      </w:r>
      <w:r>
        <w:t xml:space="preserve"> </w:t>
      </w:r>
      <w:r w:rsidR="00484847">
        <w:t xml:space="preserve">Но </w:t>
      </w:r>
      <w:r>
        <w:t>в тексте</w:t>
      </w:r>
      <w:r w:rsidR="00484847">
        <w:t xml:space="preserve"> надо</w:t>
      </w:r>
      <w:r>
        <w:t xml:space="preserve"> </w:t>
      </w:r>
      <w:r w:rsidR="00484847">
        <w:t>по</w:t>
      </w:r>
      <w:r>
        <w:t>стави</w:t>
      </w:r>
      <w:r w:rsidR="00484847">
        <w:t>ть</w:t>
      </w:r>
      <w:r>
        <w:t xml:space="preserve"> отсылки к ним</w:t>
      </w:r>
      <w:r w:rsidR="00484847">
        <w:t xml:space="preserve"> в формате (</w:t>
      </w:r>
      <w:proofErr w:type="spellStart"/>
      <w:r w:rsidR="00484847" w:rsidRPr="00484847">
        <w:rPr>
          <w:i/>
        </w:rPr>
        <w:t>илл</w:t>
      </w:r>
      <w:proofErr w:type="spellEnd"/>
      <w:r w:rsidR="00484847" w:rsidRPr="00484847">
        <w:rPr>
          <w:i/>
        </w:rPr>
        <w:t>. 1</w:t>
      </w:r>
      <w:r w:rsidR="00484847">
        <w:t>), чтобы при вёрстке было понятно, где их ставить</w:t>
      </w:r>
      <w:r>
        <w:t xml:space="preserve">. </w:t>
      </w:r>
    </w:p>
    <w:p w:rsidR="0035652B" w:rsidRDefault="0035652B">
      <w:pPr>
        <w:pStyle w:val="20"/>
      </w:pPr>
      <w:r>
        <w:t>2. Файлы изображений должны иметь имена, соответствующие фамилии автора и номерам рисунков в статье (например, если в статье Петров</w:t>
      </w:r>
      <w:r w:rsidR="00484847">
        <w:t>ой</w:t>
      </w:r>
      <w:r>
        <w:t xml:space="preserve"> имеется </w:t>
      </w:r>
      <w:proofErr w:type="spellStart"/>
      <w:r w:rsidR="00484847">
        <w:t>илл</w:t>
      </w:r>
      <w:proofErr w:type="spellEnd"/>
      <w:r>
        <w:t>. 3, соответствующий е</w:t>
      </w:r>
      <w:r w:rsidR="00484847">
        <w:t>й</w:t>
      </w:r>
      <w:r>
        <w:t xml:space="preserve"> файл должен получить имя </w:t>
      </w:r>
      <w:proofErr w:type="spellStart"/>
      <w:r>
        <w:rPr>
          <w:lang w:val="en-US"/>
        </w:rPr>
        <w:t>Petrova</w:t>
      </w:r>
      <w:proofErr w:type="spellEnd"/>
      <w:r>
        <w:t xml:space="preserve">_003.tif или </w:t>
      </w:r>
      <w:proofErr w:type="spellStart"/>
      <w:r>
        <w:rPr>
          <w:lang w:val="en-US"/>
        </w:rPr>
        <w:t>Petrova</w:t>
      </w:r>
      <w:proofErr w:type="spellEnd"/>
      <w:r>
        <w:t>_00</w:t>
      </w:r>
      <w:r w:rsidR="00484847">
        <w:t>3</w:t>
      </w:r>
      <w:r>
        <w:t>.jpg).</w:t>
      </w:r>
    </w:p>
    <w:p w:rsidR="0035652B" w:rsidRDefault="0035652B">
      <w:pPr>
        <w:pStyle w:val="a7"/>
        <w:ind w:firstLine="567"/>
        <w:jc w:val="both"/>
        <w:rPr>
          <w:rFonts w:eastAsia="Arial Unicode MS"/>
          <w:sz w:val="26"/>
          <w:szCs w:val="26"/>
        </w:rPr>
      </w:pPr>
      <w:r>
        <w:rPr>
          <w:rStyle w:val="s3"/>
          <w:color w:val="000000"/>
        </w:rPr>
        <w:t>3. Формат рисунков: растровый (.</w:t>
      </w:r>
      <w:proofErr w:type="spellStart"/>
      <w:r>
        <w:rPr>
          <w:rStyle w:val="s3"/>
          <w:color w:val="000000"/>
        </w:rPr>
        <w:t>jpeg</w:t>
      </w:r>
      <w:proofErr w:type="spellEnd"/>
      <w:r>
        <w:rPr>
          <w:rStyle w:val="s3"/>
          <w:color w:val="000000"/>
        </w:rPr>
        <w:t>, .</w:t>
      </w:r>
      <w:proofErr w:type="spellStart"/>
      <w:r>
        <w:rPr>
          <w:rStyle w:val="s3"/>
          <w:color w:val="000000"/>
        </w:rPr>
        <w:t>tiff</w:t>
      </w:r>
      <w:proofErr w:type="spellEnd"/>
      <w:r>
        <w:rPr>
          <w:rStyle w:val="s3"/>
          <w:color w:val="000000"/>
        </w:rPr>
        <w:t>, .</w:t>
      </w:r>
      <w:proofErr w:type="spellStart"/>
      <w:r>
        <w:rPr>
          <w:rStyle w:val="s3"/>
          <w:color w:val="000000"/>
        </w:rPr>
        <w:t>eps</w:t>
      </w:r>
      <w:proofErr w:type="spellEnd"/>
      <w:r>
        <w:rPr>
          <w:rStyle w:val="s3"/>
          <w:color w:val="000000"/>
        </w:rPr>
        <w:t xml:space="preserve">) с разрешением не менее 300 </w:t>
      </w:r>
      <w:proofErr w:type="spellStart"/>
      <w:r>
        <w:rPr>
          <w:rStyle w:val="s3"/>
          <w:color w:val="000000"/>
        </w:rPr>
        <w:t>dpi</w:t>
      </w:r>
      <w:proofErr w:type="spellEnd"/>
      <w:r>
        <w:rPr>
          <w:rStyle w:val="s3"/>
          <w:color w:val="000000"/>
        </w:rPr>
        <w:t>. Размер изображения по ширине – до 82 мм или, если изображение получается мелким и неудобочитаемым, то на всю ширину страницы (до 17 см).</w:t>
      </w:r>
    </w:p>
    <w:p w:rsidR="0035652B" w:rsidRDefault="0035652B">
      <w:pPr>
        <w:pStyle w:val="20"/>
      </w:pPr>
      <w:r>
        <w:t>4. Обязательно должны быть подписи к каждой иллюстрации, причём в подпись включается указание на её источник.</w:t>
      </w:r>
    </w:p>
    <w:p w:rsidR="0035652B" w:rsidRDefault="0035652B">
      <w:pPr>
        <w:pStyle w:val="20"/>
      </w:pPr>
    </w:p>
    <w:p w:rsidR="0035652B" w:rsidRDefault="0035652B">
      <w:pPr>
        <w:pStyle w:val="20"/>
      </w:pPr>
      <w:r>
        <w:t>Так как сборник загружается в РИНЦ, мы используем принятые там принципы, в частности:</w:t>
      </w:r>
    </w:p>
    <w:p w:rsidR="0035652B" w:rsidRDefault="0035652B">
      <w:pPr>
        <w:pStyle w:val="20"/>
      </w:pPr>
      <w:r>
        <w:t xml:space="preserve">1. Перед названием статьи ставим </w:t>
      </w:r>
      <w:r>
        <w:rPr>
          <w:b/>
        </w:rPr>
        <w:t>УДК</w:t>
      </w:r>
      <w:r>
        <w:t xml:space="preserve"> и </w:t>
      </w:r>
      <w:r>
        <w:rPr>
          <w:b/>
        </w:rPr>
        <w:t>ББК</w:t>
      </w:r>
      <w:r w:rsidR="00A316B9">
        <w:rPr>
          <w:b/>
        </w:rPr>
        <w:t xml:space="preserve"> </w:t>
      </w:r>
      <w:r w:rsidR="00A316B9" w:rsidRPr="00A316B9">
        <w:t>(</w:t>
      </w:r>
      <w:r w:rsidR="00A316B9">
        <w:t>классификаторы прилагаются</w:t>
      </w:r>
      <w:r w:rsidR="00A316B9" w:rsidRPr="00A316B9">
        <w:t>)</w:t>
      </w:r>
      <w:r>
        <w:t>.</w:t>
      </w:r>
    </w:p>
    <w:p w:rsidR="0035652B" w:rsidRDefault="0035652B">
      <w:pPr>
        <w:pStyle w:val="20"/>
      </w:pPr>
      <w:r>
        <w:t xml:space="preserve">2. Сразу после статьи помещаем </w:t>
      </w:r>
      <w:r>
        <w:rPr>
          <w:b/>
        </w:rPr>
        <w:t>список литературы</w:t>
      </w:r>
      <w:r>
        <w:t xml:space="preserve">. В него не включаются архивные ссылки, а только научные издания и статьи (это нужно для включения оных в индекс цитирования). </w:t>
      </w:r>
    </w:p>
    <w:p w:rsidR="0035652B" w:rsidRDefault="00CC0951">
      <w:pPr>
        <w:pStyle w:val="20"/>
      </w:pPr>
      <w:r w:rsidRPr="00CC0951">
        <w:t>3</w:t>
      </w:r>
      <w:r w:rsidR="0035652B">
        <w:t xml:space="preserve">. Далее помещаем </w:t>
      </w:r>
      <w:r w:rsidR="0035652B">
        <w:rPr>
          <w:b/>
        </w:rPr>
        <w:t>аннотацию</w:t>
      </w:r>
      <w:r w:rsidR="0035652B">
        <w:t xml:space="preserve"> и </w:t>
      </w:r>
      <w:r w:rsidR="0035652B">
        <w:rPr>
          <w:b/>
        </w:rPr>
        <w:t>ключевые слова</w:t>
      </w:r>
      <w:r w:rsidR="0035652B">
        <w:t>.</w:t>
      </w:r>
    </w:p>
    <w:p w:rsidR="0035652B" w:rsidRDefault="00CC0951">
      <w:pPr>
        <w:pStyle w:val="20"/>
      </w:pPr>
      <w:r w:rsidRPr="00CC0951">
        <w:t>4</w:t>
      </w:r>
      <w:r w:rsidR="0035652B">
        <w:t>. Дублируем пункты 2-4 по-английски.</w:t>
      </w:r>
    </w:p>
    <w:p w:rsidR="0035652B" w:rsidRDefault="00CC0951">
      <w:pPr>
        <w:pStyle w:val="20"/>
      </w:pPr>
      <w:r w:rsidRPr="00CC0951">
        <w:t>5</w:t>
      </w:r>
      <w:r w:rsidR="0035652B">
        <w:t>. Указываем информацию об авторе/авторах (ФИО, основное место работы, должность, регалии), также переводим на английский.</w:t>
      </w:r>
    </w:p>
    <w:p w:rsidR="0035652B" w:rsidRDefault="0035652B">
      <w:pPr>
        <w:ind w:firstLine="426"/>
        <w:jc w:val="both"/>
        <w:rPr>
          <w:sz w:val="28"/>
          <w:u w:val="single"/>
        </w:rPr>
      </w:pPr>
      <w:r>
        <w:rPr>
          <w:sz w:val="28"/>
          <w:u w:val="single"/>
        </w:rPr>
        <w:t>Пример того, что должно получиться:</w:t>
      </w:r>
    </w:p>
    <w:p w:rsidR="0035652B" w:rsidRDefault="0035652B">
      <w:pPr>
        <w:ind w:firstLine="567"/>
        <w:jc w:val="both"/>
        <w:rPr>
          <w:sz w:val="28"/>
        </w:rPr>
      </w:pPr>
    </w:p>
    <w:p w:rsidR="0035652B" w:rsidRDefault="0035652B">
      <w:pPr>
        <w:pStyle w:val="30"/>
        <w:rPr>
          <w:shd w:val="clear" w:color="auto" w:fill="FFFFFF"/>
        </w:rPr>
      </w:pPr>
      <w:r>
        <w:rPr>
          <w:shd w:val="clear" w:color="auto" w:fill="FFFFFF"/>
        </w:rPr>
        <w:t>УДК 94(47).083</w:t>
      </w:r>
    </w:p>
    <w:p w:rsidR="0035652B" w:rsidRDefault="0035652B">
      <w:pPr>
        <w:pStyle w:val="30"/>
      </w:pPr>
      <w:r>
        <w:rPr>
          <w:shd w:val="clear" w:color="auto" w:fill="FFFFFF"/>
        </w:rPr>
        <w:t>ББК 63.3(2)52</w:t>
      </w:r>
    </w:p>
    <w:p w:rsidR="00B05E43" w:rsidRPr="00B05E43" w:rsidRDefault="00B05E43" w:rsidP="00B05E43">
      <w:pPr>
        <w:pStyle w:val="30"/>
        <w:spacing w:after="0"/>
        <w:rPr>
          <w:shd w:val="clear" w:color="auto" w:fill="FFFFFF"/>
        </w:rPr>
      </w:pPr>
      <w:r>
        <w:rPr>
          <w:shd w:val="clear" w:color="auto" w:fill="FFFFFF"/>
        </w:rPr>
        <w:t xml:space="preserve">Кирилл Сергеевич </w:t>
      </w:r>
      <w:r w:rsidRPr="00B05E43">
        <w:rPr>
          <w:shd w:val="clear" w:color="auto" w:fill="FFFFFF"/>
        </w:rPr>
        <w:t>БОРИСОВ</w:t>
      </w:r>
    </w:p>
    <w:p w:rsidR="00B05E43" w:rsidRDefault="00B05E43" w:rsidP="00B05E43">
      <w:pPr>
        <w:rPr>
          <w:shd w:val="clear" w:color="auto" w:fill="FFFFFF"/>
        </w:rPr>
      </w:pPr>
      <w:r>
        <w:rPr>
          <w:shd w:val="clear" w:color="auto" w:fill="FFFFFF"/>
        </w:rPr>
        <w:t>кандидат исторических наук, ведущий специалист, Государственный Эрмитаж (Санкт-Петербург, Россия)</w:t>
      </w:r>
    </w:p>
    <w:p w:rsidR="00B05E43" w:rsidRPr="00B05E43" w:rsidRDefault="00B05E43" w:rsidP="00B05E43">
      <w:pPr>
        <w:pStyle w:val="2"/>
        <w:rPr>
          <w:b w:val="0"/>
          <w:bCs w:val="0"/>
          <w:i/>
          <w:iCs/>
        </w:rPr>
      </w:pPr>
      <w:r>
        <w:rPr>
          <w:b w:val="0"/>
          <w:bCs w:val="0"/>
          <w:i/>
          <w:iCs/>
          <w:lang w:val="en-US"/>
        </w:rPr>
        <w:t>E</w:t>
      </w:r>
      <w:r w:rsidRPr="00B05E43">
        <w:rPr>
          <w:b w:val="0"/>
          <w:bCs w:val="0"/>
          <w:i/>
          <w:iCs/>
        </w:rPr>
        <w:t>-</w:t>
      </w:r>
      <w:r>
        <w:rPr>
          <w:b w:val="0"/>
          <w:bCs w:val="0"/>
          <w:i/>
          <w:iCs/>
          <w:lang w:val="en-US"/>
        </w:rPr>
        <w:t>mail</w:t>
      </w:r>
      <w:r w:rsidRPr="00B05E43">
        <w:rPr>
          <w:b w:val="0"/>
          <w:bCs w:val="0"/>
          <w:i/>
          <w:iCs/>
        </w:rPr>
        <w:t xml:space="preserve">: </w:t>
      </w:r>
      <w:r>
        <w:rPr>
          <w:b w:val="0"/>
          <w:bCs w:val="0"/>
          <w:i/>
          <w:iCs/>
          <w:lang w:val="en-US"/>
        </w:rPr>
        <w:t>k</w:t>
      </w:r>
      <w:r w:rsidRPr="00B05E43">
        <w:rPr>
          <w:b w:val="0"/>
          <w:bCs w:val="0"/>
          <w:i/>
          <w:iCs/>
        </w:rPr>
        <w:t>89@</w:t>
      </w:r>
      <w:proofErr w:type="spellStart"/>
      <w:r>
        <w:rPr>
          <w:b w:val="0"/>
          <w:bCs w:val="0"/>
          <w:i/>
          <w:iCs/>
          <w:lang w:val="en-US"/>
        </w:rPr>
        <w:t>gmail</w:t>
      </w:r>
      <w:proofErr w:type="spellEnd"/>
      <w:r w:rsidRPr="00B05E43">
        <w:rPr>
          <w:b w:val="0"/>
          <w:bCs w:val="0"/>
          <w:i/>
          <w:iCs/>
        </w:rPr>
        <w:t>.</w:t>
      </w:r>
      <w:proofErr w:type="spellStart"/>
      <w:r>
        <w:rPr>
          <w:b w:val="0"/>
          <w:bCs w:val="0"/>
          <w:i/>
          <w:iCs/>
          <w:lang w:val="en-US"/>
        </w:rPr>
        <w:t>ru</w:t>
      </w:r>
      <w:proofErr w:type="spellEnd"/>
    </w:p>
    <w:p w:rsidR="00B05E43" w:rsidRPr="00B05E43" w:rsidRDefault="00B05E43" w:rsidP="00B05E43">
      <w:pPr>
        <w:pStyle w:val="10"/>
        <w:ind w:firstLine="0"/>
        <w:rPr>
          <w:b/>
          <w:bCs/>
          <w:shd w:val="clear" w:color="auto" w:fill="FFFFFF"/>
        </w:rPr>
      </w:pPr>
    </w:p>
    <w:p w:rsidR="0035652B" w:rsidRDefault="0035652B">
      <w:pPr>
        <w:pStyle w:val="21"/>
      </w:pPr>
      <w:r>
        <w:rPr>
          <w:shd w:val="clear" w:color="auto" w:fill="FFFFFF"/>
        </w:rPr>
        <w:t>Губернаторский корпус Российской империи (1894–1917 гг.)</w:t>
      </w:r>
    </w:p>
    <w:p w:rsidR="00B05E43" w:rsidRDefault="0035652B" w:rsidP="00B05E43">
      <w:pPr>
        <w:pStyle w:val="10"/>
      </w:pPr>
      <w:r>
        <w:t>В своей работе «Русская буржуазия и царизм в годы первой мировой войны (1914–1917)» выдающийся представитель петербургской исторической школы В. С. </w:t>
      </w:r>
      <w:proofErr w:type="spellStart"/>
      <w:r>
        <w:t>Дякин</w:t>
      </w:r>
      <w:proofErr w:type="spellEnd"/>
      <w:r>
        <w:t xml:space="preserve"> одним из проявлений кризиса власти накануне Февральской революции назвал «губернаторскую чехарду». Тем не менее, этот вопрос нельзя считать закрытым</w:t>
      </w:r>
      <w:r>
        <w:rPr>
          <w:rStyle w:val="a8"/>
        </w:rPr>
        <w:footnoteReference w:id="1"/>
      </w:r>
      <w:r>
        <w:t xml:space="preserve">. Очевидно, что сравнение русского </w:t>
      </w:r>
      <w:r w:rsidR="00CC0951">
        <w:t>губернаторского</w:t>
      </w:r>
      <w:r>
        <w:t xml:space="preserve"> корпуса с </w:t>
      </w:r>
      <w:r w:rsidR="00CC0951">
        <w:t>губернаторским</w:t>
      </w:r>
      <w:r>
        <w:t xml:space="preserve"> корпусом других </w:t>
      </w:r>
      <w:r w:rsidR="00CC0951">
        <w:t>европейских государств</w:t>
      </w:r>
      <w:r>
        <w:t xml:space="preserve"> того времени было бы весьма полезно (</w:t>
      </w:r>
      <w:proofErr w:type="gramStart"/>
      <w:r>
        <w:t>см</w:t>
      </w:r>
      <w:proofErr w:type="gramEnd"/>
      <w:r>
        <w:t xml:space="preserve">. </w:t>
      </w:r>
      <w:r w:rsidRPr="00B05E43">
        <w:rPr>
          <w:i/>
        </w:rPr>
        <w:t>табл. 1</w:t>
      </w:r>
      <w:r>
        <w:t>)</w:t>
      </w:r>
      <w:r>
        <w:rPr>
          <w:rStyle w:val="a8"/>
        </w:rPr>
        <w:footnoteReference w:id="2"/>
      </w:r>
      <w:r>
        <w:t xml:space="preserve">. </w:t>
      </w:r>
    </w:p>
    <w:p w:rsidR="00B05E43" w:rsidRDefault="00B05E43" w:rsidP="00B05E43">
      <w:pPr>
        <w:pStyle w:val="10"/>
      </w:pPr>
    </w:p>
    <w:p w:rsidR="00B05E43" w:rsidRDefault="00B05E43" w:rsidP="00B05E43">
      <w:pPr>
        <w:pStyle w:val="10"/>
        <w:rPr>
          <w:b/>
          <w:szCs w:val="28"/>
        </w:rPr>
      </w:pPr>
      <w:r>
        <w:rPr>
          <w:b/>
          <w:szCs w:val="28"/>
        </w:rPr>
        <w:t xml:space="preserve">Табл. 1. Табель размеров лекал пехотной шинели (в </w:t>
      </w:r>
      <w:proofErr w:type="gramStart"/>
      <w:r>
        <w:rPr>
          <w:b/>
          <w:szCs w:val="28"/>
        </w:rPr>
        <w:t>см</w:t>
      </w:r>
      <w:proofErr w:type="gramEnd"/>
      <w:r>
        <w:rPr>
          <w:b/>
          <w:szCs w:val="28"/>
        </w:rPr>
        <w:t>)</w:t>
      </w:r>
    </w:p>
    <w:p w:rsidR="0035652B" w:rsidRDefault="0035652B">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1132"/>
        <w:gridCol w:w="1183"/>
        <w:gridCol w:w="1183"/>
        <w:gridCol w:w="1098"/>
      </w:tblGrid>
      <w:tr w:rsidR="0035652B">
        <w:trPr>
          <w:cantSplit/>
        </w:trPr>
        <w:tc>
          <w:tcPr>
            <w:tcW w:w="4975" w:type="dxa"/>
            <w:vMerge w:val="restart"/>
          </w:tcPr>
          <w:p w:rsidR="0035652B" w:rsidRDefault="0035652B">
            <w:pPr>
              <w:pStyle w:val="10"/>
              <w:rPr>
                <w:b/>
              </w:rPr>
            </w:pPr>
            <w:r>
              <w:rPr>
                <w:b/>
              </w:rPr>
              <w:t>Наименование лекал</w:t>
            </w:r>
          </w:p>
        </w:tc>
        <w:tc>
          <w:tcPr>
            <w:tcW w:w="4596" w:type="dxa"/>
            <w:gridSpan w:val="4"/>
          </w:tcPr>
          <w:p w:rsidR="0035652B" w:rsidRDefault="0035652B">
            <w:pPr>
              <w:pStyle w:val="10"/>
              <w:rPr>
                <w:b/>
              </w:rPr>
            </w:pPr>
            <w:r>
              <w:rPr>
                <w:b/>
              </w:rPr>
              <w:t>Номера мерок</w:t>
            </w:r>
          </w:p>
        </w:tc>
      </w:tr>
      <w:tr w:rsidR="0035652B">
        <w:trPr>
          <w:cantSplit/>
        </w:trPr>
        <w:tc>
          <w:tcPr>
            <w:tcW w:w="4975" w:type="dxa"/>
            <w:vMerge/>
          </w:tcPr>
          <w:p w:rsidR="0035652B" w:rsidRDefault="0035652B">
            <w:pPr>
              <w:pStyle w:val="10"/>
              <w:rPr>
                <w:b/>
              </w:rPr>
            </w:pPr>
          </w:p>
        </w:tc>
        <w:tc>
          <w:tcPr>
            <w:tcW w:w="1132" w:type="dxa"/>
          </w:tcPr>
          <w:p w:rsidR="0035652B" w:rsidRDefault="0035652B">
            <w:pPr>
              <w:pStyle w:val="10"/>
              <w:rPr>
                <w:b/>
              </w:rPr>
            </w:pPr>
            <w:r>
              <w:rPr>
                <w:b/>
              </w:rPr>
              <w:t>1</w:t>
            </w:r>
          </w:p>
        </w:tc>
        <w:tc>
          <w:tcPr>
            <w:tcW w:w="1183" w:type="dxa"/>
          </w:tcPr>
          <w:p w:rsidR="0035652B" w:rsidRDefault="0035652B">
            <w:pPr>
              <w:pStyle w:val="10"/>
              <w:rPr>
                <w:b/>
              </w:rPr>
            </w:pPr>
            <w:r>
              <w:rPr>
                <w:b/>
              </w:rPr>
              <w:t>2</w:t>
            </w:r>
          </w:p>
        </w:tc>
        <w:tc>
          <w:tcPr>
            <w:tcW w:w="1183" w:type="dxa"/>
          </w:tcPr>
          <w:p w:rsidR="0035652B" w:rsidRDefault="0035652B">
            <w:pPr>
              <w:pStyle w:val="10"/>
              <w:rPr>
                <w:b/>
              </w:rPr>
            </w:pPr>
            <w:r>
              <w:rPr>
                <w:b/>
              </w:rPr>
              <w:t>3</w:t>
            </w:r>
          </w:p>
        </w:tc>
        <w:tc>
          <w:tcPr>
            <w:tcW w:w="1098" w:type="dxa"/>
          </w:tcPr>
          <w:p w:rsidR="0035652B" w:rsidRDefault="0035652B">
            <w:pPr>
              <w:pStyle w:val="10"/>
              <w:rPr>
                <w:b/>
              </w:rPr>
            </w:pPr>
            <w:r>
              <w:rPr>
                <w:b/>
              </w:rPr>
              <w:t>4</w:t>
            </w:r>
          </w:p>
        </w:tc>
      </w:tr>
      <w:tr w:rsidR="0035652B">
        <w:tc>
          <w:tcPr>
            <w:tcW w:w="4975" w:type="dxa"/>
          </w:tcPr>
          <w:p w:rsidR="0035652B" w:rsidRDefault="0035652B">
            <w:pPr>
              <w:pStyle w:val="10"/>
              <w:rPr>
                <w:b/>
              </w:rPr>
            </w:pPr>
            <w:r>
              <w:rPr>
                <w:b/>
              </w:rPr>
              <w:t xml:space="preserve">Лекало 1. Бок </w:t>
            </w:r>
            <w:r w:rsidRPr="00B05E43">
              <w:t>(</w:t>
            </w:r>
            <w:proofErr w:type="spellStart"/>
            <w:r w:rsidR="00B05E43" w:rsidRPr="00B05E43">
              <w:rPr>
                <w:i/>
              </w:rPr>
              <w:t>илл</w:t>
            </w:r>
            <w:proofErr w:type="spellEnd"/>
            <w:r w:rsidRPr="00B05E43">
              <w:t>. 1)</w:t>
            </w:r>
          </w:p>
          <w:p w:rsidR="0035652B" w:rsidRDefault="0035652B">
            <w:pPr>
              <w:pStyle w:val="10"/>
            </w:pPr>
            <w:r>
              <w:t>Длина спереди (а–б)</w:t>
            </w:r>
          </w:p>
        </w:tc>
        <w:tc>
          <w:tcPr>
            <w:tcW w:w="1132" w:type="dxa"/>
            <w:vAlign w:val="center"/>
          </w:tcPr>
          <w:p w:rsidR="0035652B" w:rsidRDefault="0035652B">
            <w:pPr>
              <w:pStyle w:val="10"/>
              <w:ind w:firstLine="0"/>
              <w:jc w:val="center"/>
            </w:pPr>
            <w:r>
              <w:t>107, 8</w:t>
            </w:r>
          </w:p>
        </w:tc>
        <w:tc>
          <w:tcPr>
            <w:tcW w:w="1183" w:type="dxa"/>
            <w:vAlign w:val="center"/>
          </w:tcPr>
          <w:p w:rsidR="0035652B" w:rsidRDefault="0035652B">
            <w:pPr>
              <w:pStyle w:val="10"/>
              <w:ind w:firstLine="0"/>
              <w:jc w:val="center"/>
            </w:pPr>
            <w:r>
              <w:t>116,7</w:t>
            </w:r>
          </w:p>
        </w:tc>
        <w:tc>
          <w:tcPr>
            <w:tcW w:w="1183" w:type="dxa"/>
            <w:vAlign w:val="center"/>
          </w:tcPr>
          <w:p w:rsidR="0035652B" w:rsidRDefault="0035652B">
            <w:pPr>
              <w:pStyle w:val="10"/>
              <w:ind w:firstLine="0"/>
              <w:jc w:val="center"/>
            </w:pPr>
            <w:r>
              <w:t>125,6</w:t>
            </w:r>
          </w:p>
        </w:tc>
        <w:tc>
          <w:tcPr>
            <w:tcW w:w="1098" w:type="dxa"/>
            <w:vAlign w:val="center"/>
          </w:tcPr>
          <w:p w:rsidR="0035652B" w:rsidRDefault="0035652B">
            <w:pPr>
              <w:pStyle w:val="10"/>
              <w:ind w:firstLine="0"/>
              <w:jc w:val="center"/>
            </w:pPr>
            <w:r>
              <w:t>130</w:t>
            </w:r>
          </w:p>
        </w:tc>
      </w:tr>
      <w:tr w:rsidR="0035652B">
        <w:tc>
          <w:tcPr>
            <w:tcW w:w="4975" w:type="dxa"/>
          </w:tcPr>
          <w:p w:rsidR="0035652B" w:rsidRDefault="0035652B">
            <w:pPr>
              <w:pStyle w:val="10"/>
            </w:pPr>
            <w:r>
              <w:t>Длина талии (а–в)</w:t>
            </w:r>
          </w:p>
        </w:tc>
        <w:tc>
          <w:tcPr>
            <w:tcW w:w="1132" w:type="dxa"/>
            <w:vAlign w:val="center"/>
          </w:tcPr>
          <w:p w:rsidR="0035652B" w:rsidRDefault="0035652B">
            <w:pPr>
              <w:pStyle w:val="10"/>
              <w:ind w:firstLine="0"/>
              <w:jc w:val="center"/>
            </w:pPr>
            <w:r>
              <w:t>40</w:t>
            </w:r>
          </w:p>
        </w:tc>
        <w:tc>
          <w:tcPr>
            <w:tcW w:w="1183" w:type="dxa"/>
            <w:vAlign w:val="center"/>
          </w:tcPr>
          <w:p w:rsidR="0035652B" w:rsidRDefault="0035652B">
            <w:pPr>
              <w:pStyle w:val="10"/>
              <w:ind w:firstLine="0"/>
              <w:jc w:val="center"/>
            </w:pPr>
            <w:r>
              <w:t>41,1</w:t>
            </w:r>
          </w:p>
        </w:tc>
        <w:tc>
          <w:tcPr>
            <w:tcW w:w="1183" w:type="dxa"/>
            <w:vAlign w:val="center"/>
          </w:tcPr>
          <w:p w:rsidR="0035652B" w:rsidRDefault="0035652B">
            <w:pPr>
              <w:pStyle w:val="10"/>
              <w:ind w:firstLine="0"/>
              <w:jc w:val="center"/>
            </w:pPr>
            <w:r>
              <w:t>43,3</w:t>
            </w:r>
          </w:p>
        </w:tc>
        <w:tc>
          <w:tcPr>
            <w:tcW w:w="1098" w:type="dxa"/>
            <w:vAlign w:val="center"/>
          </w:tcPr>
          <w:p w:rsidR="0035652B" w:rsidRDefault="0035652B">
            <w:pPr>
              <w:pStyle w:val="10"/>
              <w:ind w:firstLine="0"/>
              <w:jc w:val="center"/>
            </w:pPr>
            <w:r>
              <w:t>44,4</w:t>
            </w:r>
          </w:p>
        </w:tc>
      </w:tr>
      <w:tr w:rsidR="0035652B">
        <w:tc>
          <w:tcPr>
            <w:tcW w:w="4975" w:type="dxa"/>
          </w:tcPr>
          <w:p w:rsidR="0035652B" w:rsidRDefault="0035652B">
            <w:pPr>
              <w:pStyle w:val="10"/>
            </w:pPr>
            <w:r>
              <w:t>Ширина борта (</w:t>
            </w:r>
            <w:proofErr w:type="gramStart"/>
            <w:r>
              <w:t>г–а</w:t>
            </w:r>
            <w:proofErr w:type="gramEnd"/>
            <w:r>
              <w:t>)</w:t>
            </w:r>
          </w:p>
        </w:tc>
        <w:tc>
          <w:tcPr>
            <w:tcW w:w="1132" w:type="dxa"/>
            <w:vAlign w:val="center"/>
          </w:tcPr>
          <w:p w:rsidR="0035652B" w:rsidRDefault="0035652B">
            <w:pPr>
              <w:pStyle w:val="10"/>
              <w:ind w:firstLine="0"/>
              <w:jc w:val="center"/>
            </w:pPr>
            <w:r>
              <w:t>12,8</w:t>
            </w:r>
          </w:p>
        </w:tc>
        <w:tc>
          <w:tcPr>
            <w:tcW w:w="1183" w:type="dxa"/>
            <w:vAlign w:val="center"/>
          </w:tcPr>
          <w:p w:rsidR="0035652B" w:rsidRDefault="0035652B">
            <w:pPr>
              <w:pStyle w:val="10"/>
              <w:ind w:firstLine="0"/>
              <w:jc w:val="center"/>
            </w:pPr>
            <w:r>
              <w:t>12,8</w:t>
            </w:r>
          </w:p>
        </w:tc>
        <w:tc>
          <w:tcPr>
            <w:tcW w:w="1183" w:type="dxa"/>
            <w:vAlign w:val="center"/>
          </w:tcPr>
          <w:p w:rsidR="0035652B" w:rsidRDefault="0035652B">
            <w:pPr>
              <w:pStyle w:val="10"/>
              <w:ind w:firstLine="0"/>
              <w:jc w:val="center"/>
            </w:pPr>
            <w:r>
              <w:t>12,8</w:t>
            </w:r>
          </w:p>
        </w:tc>
        <w:tc>
          <w:tcPr>
            <w:tcW w:w="1098" w:type="dxa"/>
            <w:vAlign w:val="center"/>
          </w:tcPr>
          <w:p w:rsidR="0035652B" w:rsidRDefault="0035652B">
            <w:pPr>
              <w:pStyle w:val="10"/>
              <w:ind w:firstLine="0"/>
              <w:jc w:val="center"/>
            </w:pPr>
            <w:r>
              <w:t>12,8</w:t>
            </w:r>
          </w:p>
        </w:tc>
      </w:tr>
    </w:tbl>
    <w:p w:rsidR="00B05E43" w:rsidRDefault="00B05E43">
      <w:pPr>
        <w:pStyle w:val="10"/>
      </w:pPr>
    </w:p>
    <w:p w:rsidR="0035652B" w:rsidRDefault="0035652B">
      <w:pPr>
        <w:pStyle w:val="10"/>
      </w:pPr>
      <w:r>
        <w:t>Недавно введенные в научный оборот дневники В. С. Савонько позволяют еще раз обратиться к вопросу о том, кем же был офицер русской гвардии последних десятилетий монархии и каков был мир, в котором он жил и служил (</w:t>
      </w:r>
      <w:proofErr w:type="spellStart"/>
      <w:r w:rsidR="00B05E43" w:rsidRPr="00B05E43">
        <w:rPr>
          <w:i/>
        </w:rPr>
        <w:t>илл</w:t>
      </w:r>
      <w:proofErr w:type="spellEnd"/>
      <w:r w:rsidRPr="00B05E43">
        <w:rPr>
          <w:i/>
        </w:rPr>
        <w:t>. 1</w:t>
      </w:r>
      <w:r>
        <w:t>). В нашем распоряжении есть источники, отражающие взаимные оценки русских и немецких офицеров рубежа XIX–ХХ вв. В сочетании с дневниками В. С. Савонько это позволяет еще раз обратиться к поставленному нами вопросу (</w:t>
      </w:r>
      <w:proofErr w:type="spellStart"/>
      <w:r w:rsidR="00B05E43" w:rsidRPr="00B05E43">
        <w:rPr>
          <w:i/>
        </w:rPr>
        <w:t>илл</w:t>
      </w:r>
      <w:proofErr w:type="spellEnd"/>
      <w:r w:rsidRPr="00B05E43">
        <w:rPr>
          <w:i/>
        </w:rPr>
        <w:t>. 2</w:t>
      </w:r>
      <w:r>
        <w:t>)</w:t>
      </w:r>
      <w:r>
        <w:rPr>
          <w:rStyle w:val="a8"/>
        </w:rPr>
        <w:footnoteReference w:id="3"/>
      </w:r>
      <w:r>
        <w:t>.</w:t>
      </w:r>
    </w:p>
    <w:p w:rsidR="0035652B" w:rsidRDefault="0035652B">
      <w:pPr>
        <w:pStyle w:val="10"/>
      </w:pPr>
    </w:p>
    <w:p w:rsidR="0035652B" w:rsidRDefault="0035652B">
      <w:pPr>
        <w:pStyle w:val="30"/>
      </w:pPr>
      <w:r>
        <w:t>Список литературы</w:t>
      </w:r>
    </w:p>
    <w:p w:rsidR="0035652B" w:rsidRDefault="0035652B">
      <w:pPr>
        <w:pStyle w:val="6References"/>
        <w:rPr>
          <w:shd w:val="clear" w:color="auto" w:fill="FFFFFF"/>
        </w:rPr>
      </w:pPr>
      <w:proofErr w:type="spellStart"/>
      <w:r>
        <w:rPr>
          <w:i/>
          <w:iCs/>
          <w:shd w:val="clear" w:color="auto" w:fill="FFFFFF"/>
        </w:rPr>
        <w:t>Дякин</w:t>
      </w:r>
      <w:proofErr w:type="spellEnd"/>
      <w:r>
        <w:rPr>
          <w:i/>
          <w:iCs/>
          <w:shd w:val="clear" w:color="auto" w:fill="FFFFFF"/>
        </w:rPr>
        <w:t xml:space="preserve"> В. С. </w:t>
      </w:r>
      <w:r>
        <w:rPr>
          <w:shd w:val="clear" w:color="auto" w:fill="FFFFFF"/>
        </w:rPr>
        <w:t>Русская буржуазия и царизм в годы Первой мировой войны (1914–1917). Л., 1967. 363 с.</w:t>
      </w:r>
    </w:p>
    <w:p w:rsidR="0035652B" w:rsidRDefault="0035652B">
      <w:pPr>
        <w:pStyle w:val="6References"/>
        <w:rPr>
          <w:shd w:val="clear" w:color="auto" w:fill="FFFFFF"/>
        </w:rPr>
      </w:pPr>
      <w:proofErr w:type="spellStart"/>
      <w:r>
        <w:rPr>
          <w:i/>
          <w:iCs/>
          <w:shd w:val="clear" w:color="auto" w:fill="FFFFFF"/>
        </w:rPr>
        <w:t>Бурджалов</w:t>
      </w:r>
      <w:proofErr w:type="spellEnd"/>
      <w:r>
        <w:rPr>
          <w:i/>
          <w:iCs/>
          <w:shd w:val="clear" w:color="auto" w:fill="FFFFFF"/>
        </w:rPr>
        <w:t xml:space="preserve"> Э. Н. </w:t>
      </w:r>
      <w:r>
        <w:rPr>
          <w:shd w:val="clear" w:color="auto" w:fill="FFFFFF"/>
        </w:rPr>
        <w:t xml:space="preserve">Вторая русская революция. Москва. Фронт. Периферия. М., 1971. 463 с. </w:t>
      </w:r>
    </w:p>
    <w:p w:rsidR="0035652B" w:rsidRDefault="0035652B">
      <w:pPr>
        <w:pStyle w:val="6References"/>
        <w:rPr>
          <w:shd w:val="clear" w:color="auto" w:fill="FFFFFF"/>
        </w:rPr>
      </w:pPr>
      <w:r>
        <w:rPr>
          <w:shd w:val="clear" w:color="auto" w:fill="FFFFFF"/>
        </w:rPr>
        <w:t>Губернии Российской империи. История и руководители. 1708–1917. М., 2003. 479 с.</w:t>
      </w:r>
    </w:p>
    <w:p w:rsidR="0035652B" w:rsidRDefault="0035652B">
      <w:pPr>
        <w:pStyle w:val="6References"/>
        <w:rPr>
          <w:shd w:val="clear" w:color="auto" w:fill="FFFFFF"/>
        </w:rPr>
      </w:pPr>
      <w:r>
        <w:rPr>
          <w:i/>
          <w:iCs/>
          <w:shd w:val="clear" w:color="auto" w:fill="FFFFFF"/>
        </w:rPr>
        <w:t xml:space="preserve">Куликов С. В. </w:t>
      </w:r>
      <w:r>
        <w:rPr>
          <w:shd w:val="clear" w:color="auto" w:fill="FFFFFF"/>
        </w:rPr>
        <w:t>«Министерская чехарда» в России периода первой мировой войны. Хроника событий (июль 1914 – февраль 1917) // Из глубины времен. 1994. № 3. С. 42–57.</w:t>
      </w:r>
    </w:p>
    <w:p w:rsidR="0035652B" w:rsidRDefault="0035652B">
      <w:pPr>
        <w:pStyle w:val="6References"/>
        <w:rPr>
          <w:shd w:val="clear" w:color="auto" w:fill="FFFFFF"/>
        </w:rPr>
      </w:pPr>
      <w:r>
        <w:rPr>
          <w:i/>
          <w:iCs/>
          <w:shd w:val="clear" w:color="auto" w:fill="FFFFFF"/>
        </w:rPr>
        <w:t xml:space="preserve">Николаев А. Б. </w:t>
      </w:r>
      <w:r>
        <w:rPr>
          <w:shd w:val="clear" w:color="auto" w:fill="FFFFFF"/>
        </w:rPr>
        <w:t xml:space="preserve">Революция и власть. IV Государственная дума. 27 февраля – 3 марта 1917 года. СПб., 2005. 695 </w:t>
      </w:r>
      <w:proofErr w:type="gramStart"/>
      <w:r>
        <w:rPr>
          <w:shd w:val="clear" w:color="auto" w:fill="FFFFFF"/>
        </w:rPr>
        <w:t>с</w:t>
      </w:r>
      <w:proofErr w:type="gramEnd"/>
      <w:r>
        <w:rPr>
          <w:shd w:val="clear" w:color="auto" w:fill="FFFFFF"/>
        </w:rPr>
        <w:t>.</w:t>
      </w:r>
    </w:p>
    <w:p w:rsidR="0035652B" w:rsidRDefault="0035652B">
      <w:pPr>
        <w:pStyle w:val="6References"/>
        <w:rPr>
          <w:shd w:val="clear" w:color="auto" w:fill="FFFFFF"/>
        </w:rPr>
      </w:pPr>
      <w:r>
        <w:rPr>
          <w:i/>
          <w:iCs/>
          <w:shd w:val="clear" w:color="auto" w:fill="FFFFFF"/>
        </w:rPr>
        <w:t xml:space="preserve">Старцев В. И. </w:t>
      </w:r>
      <w:r>
        <w:rPr>
          <w:shd w:val="clear" w:color="auto" w:fill="FFFFFF"/>
        </w:rPr>
        <w:t>Внутренняя политика Временного правительства. Л., 1980. 256 с.</w:t>
      </w:r>
    </w:p>
    <w:p w:rsidR="0035652B" w:rsidRDefault="0035652B">
      <w:pPr>
        <w:pStyle w:val="30"/>
      </w:pPr>
    </w:p>
    <w:p w:rsidR="0035652B" w:rsidRDefault="0035652B">
      <w:pPr>
        <w:pStyle w:val="30"/>
      </w:pPr>
      <w:r>
        <w:t>К.</w:t>
      </w:r>
      <w:r>
        <w:rPr>
          <w:lang w:val="en-US"/>
        </w:rPr>
        <w:t> </w:t>
      </w:r>
      <w:r>
        <w:t>С.</w:t>
      </w:r>
      <w:r>
        <w:rPr>
          <w:lang w:val="en-US"/>
        </w:rPr>
        <w:t> </w:t>
      </w:r>
      <w:r w:rsidR="00B05E43">
        <w:t>Борисов</w:t>
      </w:r>
      <w:r>
        <w:t xml:space="preserve">. </w:t>
      </w:r>
      <w:r>
        <w:rPr>
          <w:shd w:val="clear" w:color="auto" w:fill="FFFFFF"/>
        </w:rPr>
        <w:t>Губернаторский корпус Российской империи (1894–1917 гг.)</w:t>
      </w:r>
    </w:p>
    <w:p w:rsidR="0035652B" w:rsidRDefault="0035652B">
      <w:pPr>
        <w:pStyle w:val="10"/>
      </w:pPr>
      <w:proofErr w:type="gramStart"/>
      <w:r>
        <w:t xml:space="preserve">Статья посвящена губернаторском корпусу Российской империи и изменениям, проходивших в нем в период 1894–1917 гг. На основе анализа императорских указов, публиковавшихся в «Сенатских ведомостях», выявлен максимально полный перечень </w:t>
      </w:r>
      <w:r>
        <w:lastRenderedPageBreak/>
        <w:t>назначений, состоявшихся в это время.</w:t>
      </w:r>
      <w:proofErr w:type="gramEnd"/>
      <w:r>
        <w:t xml:space="preserve"> Благодаря этому появилась возможность проследить источники пополнения губернаторского корпуса, перемещения внутри него, а также дальнейшие судьбы чиновника после оставления должности. Особое внимание обращено на период</w:t>
      </w:r>
      <w:proofErr w:type="gramStart"/>
      <w:r>
        <w:t xml:space="preserve"> П</w:t>
      </w:r>
      <w:proofErr w:type="gramEnd"/>
      <w:r>
        <w:t>ервой мировой войны, когда по мнению некоторых исследователей, в стране наблюдалась «губернаторская чехарда».</w:t>
      </w:r>
    </w:p>
    <w:p w:rsidR="0035652B" w:rsidRDefault="0035652B">
      <w:pPr>
        <w:pStyle w:val="10"/>
      </w:pPr>
      <w:r>
        <w:rPr>
          <w:b/>
          <w:bCs/>
        </w:rPr>
        <w:t xml:space="preserve">Ключевые слова: </w:t>
      </w:r>
      <w:r>
        <w:t>кадровая политика, администрация, губернатор, «губернаторская чехарда», «Сенатские ведомости».</w:t>
      </w:r>
    </w:p>
    <w:p w:rsidR="0035652B" w:rsidRDefault="0035652B">
      <w:pPr>
        <w:pStyle w:val="10"/>
      </w:pPr>
    </w:p>
    <w:p w:rsidR="0035652B" w:rsidRDefault="0035652B">
      <w:pPr>
        <w:pStyle w:val="30"/>
        <w:rPr>
          <w:lang w:val="en-US"/>
        </w:rPr>
      </w:pPr>
      <w:r>
        <w:rPr>
          <w:lang w:val="en-US"/>
        </w:rPr>
        <w:t>K. S. </w:t>
      </w:r>
      <w:proofErr w:type="spellStart"/>
      <w:r w:rsidR="00B05E43">
        <w:rPr>
          <w:lang w:val="en-US"/>
        </w:rPr>
        <w:t>Boris</w:t>
      </w:r>
      <w:r>
        <w:rPr>
          <w:lang w:val="en-US"/>
        </w:rPr>
        <w:t>ov</w:t>
      </w:r>
      <w:proofErr w:type="spellEnd"/>
      <w:r>
        <w:rPr>
          <w:lang w:val="en-US"/>
        </w:rPr>
        <w:t>. The governors of the Russian Empire 1894–1917</w:t>
      </w:r>
    </w:p>
    <w:p w:rsidR="0035652B" w:rsidRDefault="0035652B">
      <w:pPr>
        <w:pStyle w:val="10"/>
        <w:rPr>
          <w:lang w:val="en-US"/>
        </w:rPr>
      </w:pPr>
      <w:r>
        <w:rPr>
          <w:szCs w:val="23"/>
          <w:shd w:val="clear" w:color="auto" w:fill="FFFFFF"/>
          <w:lang w:val="en-US"/>
        </w:rPr>
        <w:t xml:space="preserve">The article deals with the governors of the Russian Empire and the changes that took place between 1894 and 1917. Basing on the analysis of the Emperor’s decrees published in The Senate Gazette, the most complete list of appointments that were made at this time has been composed. This research allows </w:t>
      </w:r>
      <w:proofErr w:type="gramStart"/>
      <w:r>
        <w:rPr>
          <w:szCs w:val="23"/>
          <w:shd w:val="clear" w:color="auto" w:fill="FFFFFF"/>
          <w:lang w:val="en-US"/>
        </w:rPr>
        <w:t>to trace</w:t>
      </w:r>
      <w:proofErr w:type="gramEnd"/>
      <w:r>
        <w:rPr>
          <w:szCs w:val="23"/>
          <w:shd w:val="clear" w:color="auto" w:fill="FFFFFF"/>
          <w:lang w:val="en-US"/>
        </w:rPr>
        <w:t xml:space="preserve"> where the governors came from, to see staff reshuffling, as well as the further career of the officials after the resignation from the governor's office. Particular attention is paid to the First World War period, when the country saw what some observers described as "the governor mess".</w:t>
      </w:r>
    </w:p>
    <w:p w:rsidR="0035652B" w:rsidRDefault="00B05E43">
      <w:pPr>
        <w:pStyle w:val="10"/>
        <w:rPr>
          <w:szCs w:val="23"/>
          <w:shd w:val="clear" w:color="auto" w:fill="FFFFFF"/>
          <w:lang w:val="en-US"/>
        </w:rPr>
      </w:pPr>
      <w:r>
        <w:rPr>
          <w:b/>
          <w:bCs/>
          <w:lang w:val="en-US"/>
        </w:rPr>
        <w:t>Key</w:t>
      </w:r>
      <w:r w:rsidR="0035652B">
        <w:rPr>
          <w:b/>
          <w:bCs/>
          <w:lang w:val="en-US"/>
        </w:rPr>
        <w:t xml:space="preserve">words: </w:t>
      </w:r>
      <w:r w:rsidR="0035652B">
        <w:rPr>
          <w:lang w:val="en-US"/>
        </w:rPr>
        <w:t xml:space="preserve">administration, human </w:t>
      </w:r>
      <w:proofErr w:type="spellStart"/>
      <w:r w:rsidR="0035652B">
        <w:rPr>
          <w:lang w:val="en-US"/>
        </w:rPr>
        <w:t>resourse</w:t>
      </w:r>
      <w:proofErr w:type="spellEnd"/>
      <w:r w:rsidR="0035652B">
        <w:rPr>
          <w:lang w:val="en-US"/>
        </w:rPr>
        <w:t xml:space="preserve">, </w:t>
      </w:r>
      <w:r w:rsidR="0035652B">
        <w:rPr>
          <w:szCs w:val="23"/>
          <w:shd w:val="clear" w:color="auto" w:fill="FFFFFF"/>
          <w:lang w:val="en-US"/>
        </w:rPr>
        <w:t xml:space="preserve">governor, </w:t>
      </w:r>
      <w:r w:rsidR="0035652B">
        <w:rPr>
          <w:lang w:val="en-US"/>
        </w:rPr>
        <w:t xml:space="preserve">"governor mess", </w:t>
      </w:r>
      <w:r w:rsidR="0035652B">
        <w:rPr>
          <w:i/>
          <w:iCs/>
          <w:lang w:val="en-US"/>
        </w:rPr>
        <w:t xml:space="preserve">Senatskiie vedomosti </w:t>
      </w:r>
      <w:r w:rsidR="0035652B">
        <w:rPr>
          <w:lang w:val="en-US"/>
        </w:rPr>
        <w:t>(</w:t>
      </w:r>
      <w:r w:rsidR="0035652B">
        <w:rPr>
          <w:szCs w:val="23"/>
          <w:shd w:val="clear" w:color="auto" w:fill="FFFFFF"/>
          <w:lang w:val="en-US"/>
        </w:rPr>
        <w:t>Senate Gazette).</w:t>
      </w:r>
    </w:p>
    <w:p w:rsidR="0035652B" w:rsidRPr="00B05E43" w:rsidRDefault="0035652B">
      <w:pPr>
        <w:pStyle w:val="10"/>
        <w:rPr>
          <w:lang w:val="en-US"/>
        </w:rPr>
      </w:pPr>
    </w:p>
    <w:p w:rsidR="0035652B" w:rsidRPr="00F30CA1" w:rsidRDefault="0035652B">
      <w:pPr>
        <w:pStyle w:val="10"/>
        <w:ind w:firstLine="0"/>
        <w:rPr>
          <w:b/>
          <w:bCs/>
          <w:shd w:val="clear" w:color="auto" w:fill="FFFFFF"/>
        </w:rPr>
      </w:pPr>
      <w:proofErr w:type="spellStart"/>
      <w:r>
        <w:rPr>
          <w:b/>
          <w:bCs/>
          <w:shd w:val="clear" w:color="auto" w:fill="FFFFFF"/>
          <w:lang w:val="en-US"/>
        </w:rPr>
        <w:t>Kirill</w:t>
      </w:r>
      <w:proofErr w:type="spellEnd"/>
      <w:r>
        <w:rPr>
          <w:b/>
          <w:bCs/>
          <w:shd w:val="clear" w:color="auto" w:fill="FFFFFF"/>
          <w:lang w:val="en-US"/>
        </w:rPr>
        <w:t xml:space="preserve"> </w:t>
      </w:r>
      <w:proofErr w:type="spellStart"/>
      <w:r>
        <w:rPr>
          <w:b/>
          <w:bCs/>
          <w:shd w:val="clear" w:color="auto" w:fill="FFFFFF"/>
          <w:lang w:val="en-US"/>
        </w:rPr>
        <w:t>Sergeievich</w:t>
      </w:r>
      <w:proofErr w:type="spellEnd"/>
      <w:r>
        <w:rPr>
          <w:b/>
          <w:bCs/>
          <w:shd w:val="clear" w:color="auto" w:fill="FFFFFF"/>
          <w:lang w:val="en-US"/>
        </w:rPr>
        <w:t xml:space="preserve"> </w:t>
      </w:r>
      <w:r w:rsidR="00B05E43">
        <w:rPr>
          <w:b/>
          <w:bCs/>
          <w:shd w:val="clear" w:color="auto" w:fill="FFFFFF"/>
          <w:lang w:val="en-US"/>
        </w:rPr>
        <w:t>BORISOV</w:t>
      </w:r>
    </w:p>
    <w:p w:rsidR="0035652B" w:rsidRDefault="0035652B">
      <w:pPr>
        <w:pStyle w:val="10"/>
        <w:ind w:firstLine="0"/>
        <w:rPr>
          <w:lang w:val="en-US"/>
        </w:rPr>
      </w:pPr>
      <w:r>
        <w:rPr>
          <w:lang w:val="en-US"/>
        </w:rPr>
        <w:t xml:space="preserve">Ph. D. </w:t>
      </w:r>
      <w:r w:rsidR="00B05E43">
        <w:rPr>
          <w:lang w:val="en-US"/>
        </w:rPr>
        <w:t>i</w:t>
      </w:r>
      <w:r>
        <w:rPr>
          <w:lang w:val="en-US"/>
        </w:rPr>
        <w:t>n History (</w:t>
      </w:r>
      <w:proofErr w:type="spellStart"/>
      <w:r>
        <w:rPr>
          <w:i/>
          <w:iCs/>
          <w:lang w:val="en-US"/>
        </w:rPr>
        <w:t>kandidat</w:t>
      </w:r>
      <w:proofErr w:type="spellEnd"/>
      <w:r>
        <w:rPr>
          <w:i/>
          <w:iCs/>
          <w:lang w:val="en-US"/>
        </w:rPr>
        <w:t xml:space="preserve"> </w:t>
      </w:r>
      <w:proofErr w:type="spellStart"/>
      <w:r>
        <w:rPr>
          <w:i/>
          <w:iCs/>
          <w:lang w:val="en-US"/>
        </w:rPr>
        <w:t>istoricheskikh</w:t>
      </w:r>
      <w:proofErr w:type="spellEnd"/>
      <w:r>
        <w:rPr>
          <w:i/>
          <w:iCs/>
          <w:lang w:val="en-US"/>
        </w:rPr>
        <w:t xml:space="preserve"> nauk</w:t>
      </w:r>
      <w:r>
        <w:rPr>
          <w:lang w:val="en-US"/>
        </w:rPr>
        <w:t xml:space="preserve">), </w:t>
      </w:r>
      <w:r>
        <w:rPr>
          <w:shd w:val="clear" w:color="auto" w:fill="FFFFFF"/>
          <w:lang w:val="en-US"/>
        </w:rPr>
        <w:t xml:space="preserve">Head Researcher </w:t>
      </w:r>
      <w:r>
        <w:rPr>
          <w:i/>
          <w:iCs/>
          <w:shd w:val="clear" w:color="auto" w:fill="FFFFFF"/>
          <w:lang w:val="en-US"/>
        </w:rPr>
        <w:t>(vedushchii spetsialist)</w:t>
      </w:r>
      <w:r>
        <w:rPr>
          <w:shd w:val="clear" w:color="auto" w:fill="FFFFFF"/>
          <w:lang w:val="en-US"/>
        </w:rPr>
        <w:t>, State Hermitage Museum (St. Petersburg, Russia)</w:t>
      </w:r>
    </w:p>
    <w:p w:rsidR="0035652B" w:rsidRDefault="0035652B">
      <w:pPr>
        <w:pStyle w:val="10"/>
        <w:ind w:firstLine="0"/>
        <w:rPr>
          <w:b/>
          <w:bCs/>
          <w:i/>
          <w:iCs/>
          <w:lang w:val="en-US"/>
        </w:rPr>
      </w:pPr>
      <w:r>
        <w:rPr>
          <w:i/>
          <w:iCs/>
          <w:lang w:val="en-US"/>
        </w:rPr>
        <w:t>E-mail: k89@gmail.ru</w:t>
      </w:r>
      <w:r>
        <w:rPr>
          <w:b/>
          <w:bCs/>
          <w:i/>
          <w:iCs/>
          <w:lang w:val="en-US"/>
        </w:rPr>
        <w:t xml:space="preserve"> </w:t>
      </w:r>
    </w:p>
    <w:p w:rsidR="0035652B" w:rsidRDefault="0035652B">
      <w:pPr>
        <w:pStyle w:val="10"/>
        <w:rPr>
          <w:lang w:val="en-US"/>
        </w:rPr>
      </w:pPr>
    </w:p>
    <w:p w:rsidR="0035652B" w:rsidRDefault="0035652B">
      <w:pPr>
        <w:pStyle w:val="30"/>
      </w:pPr>
      <w:r>
        <w:t>Иллюстрации к статье К.</w:t>
      </w:r>
      <w:r>
        <w:rPr>
          <w:lang w:val="en-US"/>
        </w:rPr>
        <w:t> </w:t>
      </w:r>
      <w:r>
        <w:t>С.</w:t>
      </w:r>
      <w:r>
        <w:rPr>
          <w:lang w:val="en-US"/>
        </w:rPr>
        <w:t> </w:t>
      </w:r>
      <w:r w:rsidR="00B05E43" w:rsidRPr="00B05E43">
        <w:t>Бо</w:t>
      </w:r>
      <w:r w:rsidR="00B05E43">
        <w:t>рисова</w:t>
      </w:r>
      <w:r>
        <w:t xml:space="preserve"> «</w:t>
      </w:r>
      <w:r>
        <w:rPr>
          <w:shd w:val="clear" w:color="auto" w:fill="FFFFFF"/>
        </w:rPr>
        <w:t>Губернаторский корпус Российской империи (1894–1917 гг.)»</w:t>
      </w:r>
    </w:p>
    <w:p w:rsidR="0035652B" w:rsidRDefault="00B05E43">
      <w:pPr>
        <w:pStyle w:val="10"/>
      </w:pPr>
      <w:proofErr w:type="spellStart"/>
      <w:r w:rsidRPr="00B05E43">
        <w:rPr>
          <w:i/>
        </w:rPr>
        <w:t>Илл</w:t>
      </w:r>
      <w:proofErr w:type="spellEnd"/>
      <w:r w:rsidR="0035652B" w:rsidRPr="00B05E43">
        <w:rPr>
          <w:i/>
        </w:rPr>
        <w:t>. 1.</w:t>
      </w:r>
      <w:r w:rsidR="0035652B">
        <w:t xml:space="preserve"> Чухломской губернатор Н. Н. Савонько в парадной форме. В должности в 1875–1899 гг. </w:t>
      </w:r>
      <w:proofErr w:type="spellStart"/>
      <w:r w:rsidR="0035652B">
        <w:t>ВИМАИВиВС</w:t>
      </w:r>
      <w:proofErr w:type="spellEnd"/>
      <w:r w:rsidR="0035652B">
        <w:t>. Инв. № 18/54-99</w:t>
      </w:r>
    </w:p>
    <w:p w:rsidR="0035652B" w:rsidRDefault="00B05E43">
      <w:pPr>
        <w:pStyle w:val="10"/>
      </w:pPr>
      <w:proofErr w:type="spellStart"/>
      <w:r w:rsidRPr="00B05E43">
        <w:rPr>
          <w:i/>
        </w:rPr>
        <w:t>Илл</w:t>
      </w:r>
      <w:proofErr w:type="spellEnd"/>
      <w:r w:rsidR="0035652B" w:rsidRPr="00B05E43">
        <w:rPr>
          <w:i/>
        </w:rPr>
        <w:t>. 2.</w:t>
      </w:r>
      <w:r w:rsidR="0035652B">
        <w:t xml:space="preserve"> Юбилейный жетон, принадлежавший камчатскому губернатору Ц. Ч. фон </w:t>
      </w:r>
      <w:proofErr w:type="gramStart"/>
      <w:r w:rsidR="0035652B">
        <w:t>дер</w:t>
      </w:r>
      <w:proofErr w:type="gramEnd"/>
      <w:r w:rsidR="0035652B">
        <w:t xml:space="preserve"> </w:t>
      </w:r>
      <w:proofErr w:type="spellStart"/>
      <w:r w:rsidR="0035652B">
        <w:t>Шещу</w:t>
      </w:r>
      <w:proofErr w:type="spellEnd"/>
      <w:r w:rsidR="0035652B">
        <w:t>. Лицевая и оборотная стороны. Из частной коллекции</w:t>
      </w:r>
    </w:p>
    <w:p w:rsidR="0035652B" w:rsidRDefault="0035652B">
      <w:pPr>
        <w:pStyle w:val="10"/>
      </w:pPr>
    </w:p>
    <w:sectPr w:rsidR="0035652B">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14" w:rsidRDefault="00A00E14">
      <w:r>
        <w:separator/>
      </w:r>
    </w:p>
  </w:endnote>
  <w:endnote w:type="continuationSeparator" w:id="0">
    <w:p w:rsidR="00A00E14" w:rsidRDefault="00A0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14" w:rsidRDefault="00A00E14">
      <w:r>
        <w:separator/>
      </w:r>
    </w:p>
  </w:footnote>
  <w:footnote w:type="continuationSeparator" w:id="0">
    <w:p w:rsidR="00A00E14" w:rsidRDefault="00A00E14">
      <w:r>
        <w:continuationSeparator/>
      </w:r>
    </w:p>
  </w:footnote>
  <w:footnote w:id="1">
    <w:p w:rsidR="0035652B" w:rsidRDefault="0035652B">
      <w:pPr>
        <w:pStyle w:val="ab"/>
      </w:pPr>
      <w:r>
        <w:rPr>
          <w:rStyle w:val="a8"/>
          <w:szCs w:val="24"/>
        </w:rPr>
        <w:footnoteRef/>
      </w:r>
      <w:r>
        <w:rPr>
          <w:szCs w:val="24"/>
        </w:rPr>
        <w:t xml:space="preserve"> Вооруженные силы Германии (по данным к 1 мая 1907 года). СПб</w:t>
      </w:r>
      <w:proofErr w:type="gramStart"/>
      <w:r>
        <w:rPr>
          <w:szCs w:val="24"/>
        </w:rPr>
        <w:t xml:space="preserve">., </w:t>
      </w:r>
      <w:proofErr w:type="gramEnd"/>
      <w:r>
        <w:rPr>
          <w:szCs w:val="24"/>
        </w:rPr>
        <w:t>1907. С. 28–35.</w:t>
      </w:r>
    </w:p>
  </w:footnote>
  <w:footnote w:id="2">
    <w:p w:rsidR="0035652B" w:rsidRDefault="0035652B">
      <w:pPr>
        <w:pStyle w:val="ab"/>
        <w:jc w:val="both"/>
      </w:pPr>
      <w:r>
        <w:rPr>
          <w:rStyle w:val="a8"/>
          <w:szCs w:val="24"/>
        </w:rPr>
        <w:footnoteRef/>
      </w:r>
      <w:r>
        <w:rPr>
          <w:szCs w:val="24"/>
        </w:rPr>
        <w:t xml:space="preserve"> </w:t>
      </w:r>
      <w:proofErr w:type="spellStart"/>
      <w:r>
        <w:rPr>
          <w:i/>
          <w:szCs w:val="24"/>
        </w:rPr>
        <w:t>Савонько</w:t>
      </w:r>
      <w:proofErr w:type="spellEnd"/>
      <w:r>
        <w:rPr>
          <w:i/>
          <w:szCs w:val="24"/>
        </w:rPr>
        <w:t xml:space="preserve"> В. С. </w:t>
      </w:r>
      <w:r>
        <w:rPr>
          <w:szCs w:val="24"/>
        </w:rPr>
        <w:t>Черная книга: 1899–1904 // ОР РНБ. Ф. 1000 (Собрание отдельных поступлений). Оп. 11. Ед. хр. 86–89.</w:t>
      </w:r>
    </w:p>
  </w:footnote>
  <w:footnote w:id="3">
    <w:p w:rsidR="0035652B" w:rsidRDefault="0035652B">
      <w:pPr>
        <w:pStyle w:val="ab"/>
      </w:pPr>
      <w:r>
        <w:rPr>
          <w:rStyle w:val="a8"/>
        </w:rPr>
        <w:footnoteRef/>
      </w:r>
      <w:r>
        <w:t xml:space="preserve"> </w:t>
      </w:r>
      <w:r>
        <w:rPr>
          <w:szCs w:val="28"/>
        </w:rPr>
        <w:t>Сборник приказов по гражданскому ведомству за 1912 г. СПб</w:t>
      </w:r>
      <w:proofErr w:type="gramStart"/>
      <w:r>
        <w:rPr>
          <w:szCs w:val="28"/>
        </w:rPr>
        <w:t xml:space="preserve">., </w:t>
      </w:r>
      <w:proofErr w:type="gramEnd"/>
      <w:r>
        <w:rPr>
          <w:szCs w:val="28"/>
        </w:rPr>
        <w:t>1912. С. 243–248.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E6383"/>
    <w:multiLevelType w:val="hybridMultilevel"/>
    <w:tmpl w:val="BBA2AEEE"/>
    <w:lvl w:ilvl="0" w:tplc="52C26CC8">
      <w:start w:val="1"/>
      <w:numFmt w:val="decimal"/>
      <w:lvlText w:val="%1."/>
      <w:lvlJc w:val="left"/>
      <w:pPr>
        <w:tabs>
          <w:tab w:val="num" w:pos="720"/>
        </w:tabs>
        <w:ind w:left="720" w:hanging="360"/>
      </w:pPr>
    </w:lvl>
    <w:lvl w:ilvl="1" w:tplc="A75639F6" w:tentative="1">
      <w:start w:val="1"/>
      <w:numFmt w:val="decimal"/>
      <w:lvlText w:val="%2."/>
      <w:lvlJc w:val="left"/>
      <w:pPr>
        <w:tabs>
          <w:tab w:val="num" w:pos="1440"/>
        </w:tabs>
        <w:ind w:left="1440" w:hanging="360"/>
      </w:pPr>
    </w:lvl>
    <w:lvl w:ilvl="2" w:tplc="E3420620" w:tentative="1">
      <w:start w:val="1"/>
      <w:numFmt w:val="decimal"/>
      <w:lvlText w:val="%3."/>
      <w:lvlJc w:val="left"/>
      <w:pPr>
        <w:tabs>
          <w:tab w:val="num" w:pos="2160"/>
        </w:tabs>
        <w:ind w:left="2160" w:hanging="360"/>
      </w:pPr>
    </w:lvl>
    <w:lvl w:ilvl="3" w:tplc="32F094FE" w:tentative="1">
      <w:start w:val="1"/>
      <w:numFmt w:val="decimal"/>
      <w:lvlText w:val="%4."/>
      <w:lvlJc w:val="left"/>
      <w:pPr>
        <w:tabs>
          <w:tab w:val="num" w:pos="2880"/>
        </w:tabs>
        <w:ind w:left="2880" w:hanging="360"/>
      </w:pPr>
    </w:lvl>
    <w:lvl w:ilvl="4" w:tplc="4ADEA6D8" w:tentative="1">
      <w:start w:val="1"/>
      <w:numFmt w:val="decimal"/>
      <w:lvlText w:val="%5."/>
      <w:lvlJc w:val="left"/>
      <w:pPr>
        <w:tabs>
          <w:tab w:val="num" w:pos="3600"/>
        </w:tabs>
        <w:ind w:left="3600" w:hanging="360"/>
      </w:pPr>
    </w:lvl>
    <w:lvl w:ilvl="5" w:tplc="40E86C54" w:tentative="1">
      <w:start w:val="1"/>
      <w:numFmt w:val="decimal"/>
      <w:lvlText w:val="%6."/>
      <w:lvlJc w:val="left"/>
      <w:pPr>
        <w:tabs>
          <w:tab w:val="num" w:pos="4320"/>
        </w:tabs>
        <w:ind w:left="4320" w:hanging="360"/>
      </w:pPr>
    </w:lvl>
    <w:lvl w:ilvl="6" w:tplc="6646E56C" w:tentative="1">
      <w:start w:val="1"/>
      <w:numFmt w:val="decimal"/>
      <w:lvlText w:val="%7."/>
      <w:lvlJc w:val="left"/>
      <w:pPr>
        <w:tabs>
          <w:tab w:val="num" w:pos="5040"/>
        </w:tabs>
        <w:ind w:left="5040" w:hanging="360"/>
      </w:pPr>
    </w:lvl>
    <w:lvl w:ilvl="7" w:tplc="0576FA48" w:tentative="1">
      <w:start w:val="1"/>
      <w:numFmt w:val="decimal"/>
      <w:lvlText w:val="%8."/>
      <w:lvlJc w:val="left"/>
      <w:pPr>
        <w:tabs>
          <w:tab w:val="num" w:pos="5760"/>
        </w:tabs>
        <w:ind w:left="5760" w:hanging="360"/>
      </w:pPr>
    </w:lvl>
    <w:lvl w:ilvl="8" w:tplc="2A0A472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numFmt w:val="decimal"/>
    <w:endnote w:id="-1"/>
    <w:endnote w:id="0"/>
  </w:endnotePr>
  <w:compat/>
  <w:rsids>
    <w:rsidRoot w:val="00986133"/>
    <w:rsid w:val="0035652B"/>
    <w:rsid w:val="00484847"/>
    <w:rsid w:val="00986133"/>
    <w:rsid w:val="009B0385"/>
    <w:rsid w:val="00A00E14"/>
    <w:rsid w:val="00A316B9"/>
    <w:rsid w:val="00B05E43"/>
    <w:rsid w:val="00CC0951"/>
    <w:rsid w:val="00F11E6E"/>
    <w:rsid w:val="00F30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pple-converted-space">
    <w:name w:val="apple-converted-space"/>
    <w:basedOn w:val="a0"/>
  </w:style>
  <w:style w:type="character" w:styleId="a4">
    <w:name w:val="Emphasis"/>
    <w:qFormat/>
    <w:rPr>
      <w:i/>
      <w:iCs/>
    </w:rPr>
  </w:style>
  <w:style w:type="character" w:styleId="a5">
    <w:name w:val="Hyperlink"/>
    <w:semiHidden/>
    <w:rPr>
      <w:color w:val="0000FF"/>
      <w:u w:val="single"/>
    </w:rPr>
  </w:style>
  <w:style w:type="paragraph" w:styleId="a6">
    <w:name w:val="Body Text Indent"/>
    <w:basedOn w:val="a"/>
    <w:semiHidden/>
    <w:pPr>
      <w:shd w:val="clear" w:color="auto" w:fill="FFFFFF"/>
      <w:spacing w:before="45" w:line="315" w:lineRule="atLeast"/>
      <w:ind w:left="-195"/>
    </w:pPr>
    <w:rPr>
      <w:rFonts w:ascii="Verdana" w:hAnsi="Verdana"/>
      <w:color w:val="303F50"/>
      <w:sz w:val="18"/>
      <w:szCs w:val="18"/>
    </w:rPr>
  </w:style>
  <w:style w:type="paragraph" w:styleId="a7">
    <w:name w:val="Body Text"/>
    <w:basedOn w:val="a"/>
    <w:semiHidden/>
    <w:pPr>
      <w:shd w:val="clear" w:color="auto" w:fill="FFFFFF"/>
      <w:spacing w:before="45" w:line="315" w:lineRule="atLeast"/>
    </w:pPr>
    <w:rPr>
      <w:sz w:val="28"/>
    </w:rPr>
  </w:style>
  <w:style w:type="paragraph" w:styleId="20">
    <w:name w:val="Body Text Indent 2"/>
    <w:basedOn w:val="a"/>
    <w:semiHidden/>
    <w:pPr>
      <w:shd w:val="clear" w:color="auto" w:fill="FFFFFF"/>
      <w:spacing w:before="45" w:line="315" w:lineRule="atLeast"/>
      <w:ind w:firstLine="567"/>
      <w:jc w:val="both"/>
    </w:pPr>
    <w:rPr>
      <w:sz w:val="28"/>
    </w:rPr>
  </w:style>
  <w:style w:type="character" w:styleId="a8">
    <w:name w:val="footnote reference"/>
    <w:semiHidden/>
    <w:rPr>
      <w:rFonts w:ascii="Times New Roman" w:hAnsi="Times New Roman" w:cs="Times New Roman"/>
      <w:vertAlign w:val="superscript"/>
    </w:rPr>
  </w:style>
  <w:style w:type="paragraph" w:styleId="a9">
    <w:name w:val="endnote text"/>
    <w:basedOn w:val="a"/>
    <w:semiHidden/>
    <w:pPr>
      <w:ind w:firstLine="709"/>
    </w:pPr>
    <w:rPr>
      <w:sz w:val="20"/>
      <w:szCs w:val="20"/>
      <w:lang w:eastAsia="en-US"/>
    </w:rPr>
  </w:style>
  <w:style w:type="paragraph" w:customStyle="1" w:styleId="10">
    <w:name w:val="Стиль_1_основной_текст"/>
    <w:basedOn w:val="a"/>
    <w:pPr>
      <w:ind w:firstLine="426"/>
      <w:jc w:val="both"/>
    </w:pPr>
  </w:style>
  <w:style w:type="paragraph" w:customStyle="1" w:styleId="21">
    <w:name w:val="Стиль_2_Заголовок"/>
    <w:basedOn w:val="3"/>
    <w:next w:val="10"/>
    <w:pPr>
      <w:spacing w:before="0"/>
    </w:pPr>
  </w:style>
  <w:style w:type="paragraph" w:customStyle="1" w:styleId="30">
    <w:name w:val="Стиль_3_Автор"/>
    <w:basedOn w:val="1"/>
    <w:next w:val="21"/>
    <w:pPr>
      <w:spacing w:before="0" w:after="120"/>
    </w:pPr>
    <w:rPr>
      <w:rFonts w:ascii="Times New Roman" w:hAnsi="Times New Roman" w:cs="Times New Roman"/>
      <w:kern w:val="0"/>
      <w:sz w:val="24"/>
      <w:szCs w:val="24"/>
    </w:rPr>
  </w:style>
  <w:style w:type="character" w:styleId="aa">
    <w:name w:val="endnote reference"/>
    <w:semiHidden/>
    <w:rPr>
      <w:vertAlign w:val="superscript"/>
    </w:rPr>
  </w:style>
  <w:style w:type="paragraph" w:styleId="ab">
    <w:name w:val="footnote text"/>
    <w:basedOn w:val="a"/>
    <w:semiHidden/>
    <w:rPr>
      <w:sz w:val="20"/>
      <w:szCs w:val="20"/>
    </w:rPr>
  </w:style>
  <w:style w:type="paragraph" w:customStyle="1" w:styleId="h4">
    <w:name w:val="h4"/>
    <w:basedOn w:val="a"/>
    <w:pPr>
      <w:spacing w:before="100" w:beforeAutospacing="1" w:after="100" w:afterAutospacing="1"/>
    </w:pPr>
    <w:rPr>
      <w:rFonts w:ascii="Arial Unicode MS" w:eastAsia="Arial Unicode MS" w:hAnsi="Arial Unicode MS" w:cs="Arial Unicode MS"/>
    </w:rPr>
  </w:style>
  <w:style w:type="paragraph" w:customStyle="1" w:styleId="asp">
    <w:name w:val="asp"/>
    <w:basedOn w:val="a"/>
    <w:pPr>
      <w:spacing w:before="100" w:beforeAutospacing="1" w:after="100" w:afterAutospacing="1"/>
    </w:pPr>
    <w:rPr>
      <w:rFonts w:ascii="Arial Unicode MS" w:eastAsia="Arial Unicode MS" w:hAnsi="Arial Unicode MS" w:cs="Arial Unicode MS"/>
    </w:rPr>
  </w:style>
  <w:style w:type="paragraph" w:customStyle="1" w:styleId="opr3">
    <w:name w:val="opr3"/>
    <w:basedOn w:val="a"/>
    <w:pPr>
      <w:spacing w:before="100" w:beforeAutospacing="1" w:after="100" w:afterAutospacing="1"/>
    </w:pPr>
    <w:rPr>
      <w:rFonts w:ascii="Arial Unicode MS" w:eastAsia="Arial Unicode MS" w:hAnsi="Arial Unicode MS" w:cs="Arial Unicode MS"/>
    </w:rPr>
  </w:style>
  <w:style w:type="paragraph" w:customStyle="1" w:styleId="ListParagraph">
    <w:name w:val="List Paragraph"/>
    <w:basedOn w:val="a"/>
    <w:pPr>
      <w:ind w:left="720" w:firstLine="709"/>
      <w:jc w:val="both"/>
    </w:pPr>
    <w:rPr>
      <w:color w:val="595959"/>
      <w:sz w:val="28"/>
      <w:szCs w:val="28"/>
      <w:lang w:eastAsia="en-US"/>
    </w:rPr>
  </w:style>
  <w:style w:type="paragraph" w:customStyle="1" w:styleId="p7">
    <w:name w:val="p7"/>
    <w:basedOn w:val="a"/>
    <w:pPr>
      <w:spacing w:before="100" w:beforeAutospacing="1" w:after="100" w:afterAutospacing="1"/>
    </w:pPr>
    <w:rPr>
      <w:rFonts w:ascii="Arial Unicode MS" w:eastAsia="Arial Unicode MS" w:hAnsi="Arial Unicode MS" w:cs="Arial Unicode MS"/>
    </w:rPr>
  </w:style>
  <w:style w:type="character" w:customStyle="1" w:styleId="s3">
    <w:name w:val="s3"/>
    <w:basedOn w:val="a0"/>
  </w:style>
  <w:style w:type="paragraph" w:customStyle="1" w:styleId="p8">
    <w:name w:val="p8"/>
    <w:basedOn w:val="a"/>
    <w:pPr>
      <w:spacing w:before="100" w:beforeAutospacing="1" w:after="100" w:afterAutospacing="1"/>
    </w:pPr>
    <w:rPr>
      <w:rFonts w:ascii="Arial Unicode MS" w:eastAsia="Arial Unicode MS" w:hAnsi="Arial Unicode MS" w:cs="Arial Unicode MS"/>
    </w:rPr>
  </w:style>
  <w:style w:type="paragraph" w:customStyle="1" w:styleId="6References">
    <w:name w:val="Стиль_6_References"/>
    <w:basedOn w:val="a"/>
    <w:pPr>
      <w:ind w:firstLine="426"/>
      <w:jc w:val="both"/>
    </w:pPr>
    <w:rPr>
      <w:sz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Для набора текста используем использовать шрифт Times New Roman, кегль – 14; межстрочный интервал – 1,5; выравнивание по ширин</vt:lpstr>
    </vt:vector>
  </TitlesOfParts>
  <Company>Krokoz™</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набора текста используем использовать шрифт Times New Roman, кегль – 14; межстрочный интервал – 1,5; выравнивание по ширин</dc:title>
  <dc:creator>22222</dc:creator>
  <cp:lastModifiedBy>Денис</cp:lastModifiedBy>
  <cp:revision>2</cp:revision>
  <dcterms:created xsi:type="dcterms:W3CDTF">2019-04-04T08:34:00Z</dcterms:created>
  <dcterms:modified xsi:type="dcterms:W3CDTF">2019-04-04T08:34:00Z</dcterms:modified>
</cp:coreProperties>
</file>